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B9" w:rsidRDefault="002F09B9" w:rsidP="002F09B9">
      <w:pPr>
        <w:jc w:val="center"/>
      </w:pPr>
      <w:r>
        <w:t>VICTOR VALLY GEM AND MINERAL CLUB’S BY-LAWS</w:t>
      </w:r>
    </w:p>
    <w:p w:rsidR="000D195E" w:rsidRDefault="002F09B9" w:rsidP="002F09B9">
      <w:pPr>
        <w:jc w:val="center"/>
      </w:pPr>
      <w:r>
        <w:t>Revised October 23, 2012</w:t>
      </w:r>
    </w:p>
    <w:tbl>
      <w:tblPr>
        <w:tblStyle w:val="TableGrid"/>
        <w:tblW w:w="0" w:type="auto"/>
        <w:tblLook w:val="04A0"/>
      </w:tblPr>
      <w:tblGrid>
        <w:gridCol w:w="1230"/>
        <w:gridCol w:w="1283"/>
        <w:gridCol w:w="1430"/>
        <w:gridCol w:w="7073"/>
      </w:tblGrid>
      <w:tr w:rsidR="002F09B9" w:rsidTr="002F09B9">
        <w:tc>
          <w:tcPr>
            <w:tcW w:w="1230" w:type="dxa"/>
          </w:tcPr>
          <w:p w:rsidR="002F09B9" w:rsidRDefault="002F09B9" w:rsidP="00A25601">
            <w:pPr>
              <w:jc w:val="center"/>
            </w:pPr>
            <w:r>
              <w:t>ARTICLE</w:t>
            </w:r>
          </w:p>
        </w:tc>
        <w:tc>
          <w:tcPr>
            <w:tcW w:w="1323" w:type="dxa"/>
          </w:tcPr>
          <w:p w:rsidR="002F09B9" w:rsidRDefault="002F09B9" w:rsidP="00A25601">
            <w:pPr>
              <w:jc w:val="center"/>
            </w:pPr>
            <w:r>
              <w:t>SECTION</w:t>
            </w:r>
          </w:p>
        </w:tc>
        <w:tc>
          <w:tcPr>
            <w:tcW w:w="1390" w:type="dxa"/>
          </w:tcPr>
          <w:p w:rsidR="002F09B9" w:rsidRDefault="002F09B9" w:rsidP="00A25601">
            <w:pPr>
              <w:jc w:val="center"/>
            </w:pPr>
            <w:r>
              <w:t>TITLE</w:t>
            </w:r>
          </w:p>
        </w:tc>
        <w:tc>
          <w:tcPr>
            <w:tcW w:w="7073" w:type="dxa"/>
          </w:tcPr>
          <w:p w:rsidR="002F09B9" w:rsidRDefault="002F09B9" w:rsidP="00A25601">
            <w:pPr>
              <w:jc w:val="center"/>
            </w:pPr>
            <w:r>
              <w:t>BY-LAW</w:t>
            </w:r>
          </w:p>
        </w:tc>
      </w:tr>
      <w:tr w:rsidR="002F09B9" w:rsidTr="002F09B9">
        <w:tc>
          <w:tcPr>
            <w:tcW w:w="1230" w:type="dxa"/>
          </w:tcPr>
          <w:p w:rsidR="002F09B9" w:rsidRDefault="002F09B9" w:rsidP="00A25601">
            <w:r>
              <w:t>I</w:t>
            </w:r>
          </w:p>
        </w:tc>
        <w:tc>
          <w:tcPr>
            <w:tcW w:w="1323" w:type="dxa"/>
          </w:tcPr>
          <w:p w:rsidR="002F09B9" w:rsidRDefault="002F09B9" w:rsidP="00A25601"/>
        </w:tc>
        <w:tc>
          <w:tcPr>
            <w:tcW w:w="1390" w:type="dxa"/>
          </w:tcPr>
          <w:p w:rsidR="002F09B9" w:rsidRDefault="002F09B9" w:rsidP="00A25601">
            <w:r>
              <w:t>Name</w:t>
            </w:r>
          </w:p>
        </w:tc>
        <w:tc>
          <w:tcPr>
            <w:tcW w:w="7073" w:type="dxa"/>
          </w:tcPr>
          <w:p w:rsidR="002F09B9" w:rsidRDefault="002F09B9" w:rsidP="00A25601">
            <w:r w:rsidRPr="006B6CFE">
              <w:t>The name of this corporation is VICTOR VALLEY GEM AND MINERAL CLUB, INC.</w:t>
            </w:r>
          </w:p>
          <w:p w:rsidR="002F09B9" w:rsidRDefault="002F09B9" w:rsidP="00A25601">
            <w:pPr>
              <w:tabs>
                <w:tab w:val="left" w:pos="6856"/>
              </w:tabs>
            </w:pPr>
            <w:r>
              <w:tab/>
            </w:r>
          </w:p>
        </w:tc>
      </w:tr>
      <w:tr w:rsidR="002F09B9" w:rsidTr="002F09B9">
        <w:tc>
          <w:tcPr>
            <w:tcW w:w="1230" w:type="dxa"/>
          </w:tcPr>
          <w:p w:rsidR="002F09B9" w:rsidRDefault="002F09B9" w:rsidP="00A25601">
            <w:r>
              <w:t>II</w:t>
            </w:r>
          </w:p>
        </w:tc>
        <w:tc>
          <w:tcPr>
            <w:tcW w:w="1323" w:type="dxa"/>
          </w:tcPr>
          <w:p w:rsidR="002F09B9" w:rsidRDefault="002F09B9" w:rsidP="00A25601">
            <w:r>
              <w:t>1</w:t>
            </w:r>
          </w:p>
        </w:tc>
        <w:tc>
          <w:tcPr>
            <w:tcW w:w="1390" w:type="dxa"/>
          </w:tcPr>
          <w:p w:rsidR="002F09B9" w:rsidRDefault="002F09B9" w:rsidP="00A25601">
            <w:r>
              <w:t>Object</w:t>
            </w:r>
          </w:p>
        </w:tc>
        <w:tc>
          <w:tcPr>
            <w:tcW w:w="7073" w:type="dxa"/>
          </w:tcPr>
          <w:p w:rsidR="002F09B9" w:rsidRDefault="002F09B9" w:rsidP="00A25601">
            <w:r w:rsidRPr="006B6CFE">
              <w:t>To disseminate knowledge of mineralogy and the earth sciences.  To encourage study in these subjects through means of the presentation of public exhibitions, lectures, slide programs, demonstrations and similar programs.  To arrange field trips for exploration, study, and collection of specimens.  The preparation, publication and distribution of articles pertaining to these fields.  The encouragement of interest of young people and fostering of classes in mineralogy and lapidary arts.  The establishment of one or more public museums or displays of gems, minerals, mineral products and related pictures, writings and other information thereof, and all other means which are appropriate to the accomplishment of the primary objects above set forth.</w:t>
            </w:r>
          </w:p>
          <w:p w:rsidR="002F09B9" w:rsidRDefault="002F09B9" w:rsidP="00A25601"/>
          <w:p w:rsidR="002F09B9" w:rsidRDefault="002F09B9" w:rsidP="00A25601"/>
        </w:tc>
      </w:tr>
      <w:tr w:rsidR="002F09B9" w:rsidTr="002F09B9">
        <w:tc>
          <w:tcPr>
            <w:tcW w:w="1230" w:type="dxa"/>
          </w:tcPr>
          <w:p w:rsidR="002F09B9" w:rsidRDefault="002F09B9" w:rsidP="00A25601">
            <w:r>
              <w:t>II</w:t>
            </w:r>
          </w:p>
        </w:tc>
        <w:tc>
          <w:tcPr>
            <w:tcW w:w="1323" w:type="dxa"/>
          </w:tcPr>
          <w:p w:rsidR="002F09B9" w:rsidRDefault="002F09B9" w:rsidP="00A25601">
            <w:r>
              <w:t>2</w:t>
            </w:r>
          </w:p>
        </w:tc>
        <w:tc>
          <w:tcPr>
            <w:tcW w:w="1390" w:type="dxa"/>
          </w:tcPr>
          <w:p w:rsidR="002F09B9" w:rsidRDefault="002F09B9" w:rsidP="00A25601">
            <w:r>
              <w:t>Object</w:t>
            </w:r>
          </w:p>
        </w:tc>
        <w:tc>
          <w:tcPr>
            <w:tcW w:w="7073" w:type="dxa"/>
          </w:tcPr>
          <w:p w:rsidR="002F09B9" w:rsidRDefault="002F09B9" w:rsidP="00A25601">
            <w:r>
              <w:t>The corporation is not formed for profit, and none of its assets shall be used for the pecuniary gain or profit of any individual who is or may become a member thereof.</w:t>
            </w:r>
          </w:p>
          <w:p w:rsidR="002F09B9" w:rsidRPr="006B6CFE" w:rsidRDefault="002F09B9" w:rsidP="00A25601"/>
        </w:tc>
      </w:tr>
      <w:tr w:rsidR="002F09B9" w:rsidTr="002F09B9">
        <w:tc>
          <w:tcPr>
            <w:tcW w:w="1230" w:type="dxa"/>
          </w:tcPr>
          <w:p w:rsidR="002F09B9" w:rsidRDefault="002F09B9" w:rsidP="00A25601">
            <w:r>
              <w:t>II</w:t>
            </w:r>
          </w:p>
        </w:tc>
        <w:tc>
          <w:tcPr>
            <w:tcW w:w="1323" w:type="dxa"/>
          </w:tcPr>
          <w:p w:rsidR="002F09B9" w:rsidRDefault="002F09B9" w:rsidP="00A25601">
            <w:r>
              <w:t>3</w:t>
            </w:r>
          </w:p>
        </w:tc>
        <w:tc>
          <w:tcPr>
            <w:tcW w:w="1390" w:type="dxa"/>
          </w:tcPr>
          <w:p w:rsidR="002F09B9" w:rsidRDefault="002F09B9" w:rsidP="00A25601">
            <w:r>
              <w:t>Object</w:t>
            </w:r>
          </w:p>
        </w:tc>
        <w:tc>
          <w:tcPr>
            <w:tcW w:w="7073" w:type="dxa"/>
          </w:tcPr>
          <w:p w:rsidR="002F09B9" w:rsidRDefault="002F09B9" w:rsidP="00A25601">
            <w:r w:rsidRPr="006B6CFE">
              <w:t>All of the assets, properties, and funds of the corporation shall be devoted to the furtherance of the primary objects and purposes of the corporation.  Its works, purposes and objects are purely scientific and educational and to the extent incidental thereto social and recreational, and are solely in the interest of the advancement of its members and of the public along scientific and educational lines.</w:t>
            </w:r>
          </w:p>
          <w:p w:rsidR="002F09B9" w:rsidRDefault="002F09B9" w:rsidP="00A25601"/>
        </w:tc>
      </w:tr>
      <w:tr w:rsidR="002F09B9" w:rsidTr="002F09B9">
        <w:tc>
          <w:tcPr>
            <w:tcW w:w="1230" w:type="dxa"/>
          </w:tcPr>
          <w:p w:rsidR="002F09B9" w:rsidRDefault="002F09B9" w:rsidP="00A25601">
            <w:r>
              <w:t>II</w:t>
            </w:r>
          </w:p>
        </w:tc>
        <w:tc>
          <w:tcPr>
            <w:tcW w:w="1323" w:type="dxa"/>
          </w:tcPr>
          <w:p w:rsidR="002F09B9" w:rsidRDefault="002F09B9" w:rsidP="00A25601">
            <w:r>
              <w:t>4</w:t>
            </w:r>
          </w:p>
        </w:tc>
        <w:tc>
          <w:tcPr>
            <w:tcW w:w="1390" w:type="dxa"/>
          </w:tcPr>
          <w:p w:rsidR="002F09B9" w:rsidRDefault="002F09B9" w:rsidP="00A25601">
            <w:r>
              <w:t>Object</w:t>
            </w:r>
          </w:p>
        </w:tc>
        <w:tc>
          <w:tcPr>
            <w:tcW w:w="7073" w:type="dxa"/>
          </w:tcPr>
          <w:p w:rsidR="002F09B9" w:rsidRDefault="002F09B9" w:rsidP="00A25601">
            <w:r>
              <w:t xml:space="preserve">In the event of liquidation, or abandonment of the corporation, all of its assets both real and personal, shall not inure to the benefit of any private person </w:t>
            </w:r>
            <w:proofErr w:type="gramStart"/>
            <w:r>
              <w:t>nor</w:t>
            </w:r>
            <w:proofErr w:type="gramEnd"/>
            <w:r>
              <w:t xml:space="preserve"> the individual members of the corporation.  All of its assets, both real and personal, shall be transferred at the discretion of the remaining members to the State of California for educational purposes, or shall be transferred to any existing, operative and valid association or corporation founded upon and functioning as an organization with the same objects and purposes as this corporation.</w:t>
            </w:r>
          </w:p>
          <w:p w:rsidR="002F09B9" w:rsidRDefault="002F09B9" w:rsidP="00A25601"/>
          <w:p w:rsidR="002F09B9" w:rsidRPr="006B6CFE" w:rsidRDefault="002F09B9" w:rsidP="00A25601"/>
        </w:tc>
      </w:tr>
      <w:tr w:rsidR="002F09B9" w:rsidTr="002F09B9">
        <w:tc>
          <w:tcPr>
            <w:tcW w:w="1230" w:type="dxa"/>
          </w:tcPr>
          <w:p w:rsidR="002F09B9" w:rsidRDefault="002F09B9" w:rsidP="00A25601">
            <w:r>
              <w:t>III</w:t>
            </w:r>
          </w:p>
        </w:tc>
        <w:tc>
          <w:tcPr>
            <w:tcW w:w="1323" w:type="dxa"/>
          </w:tcPr>
          <w:p w:rsidR="002F09B9" w:rsidRDefault="002F09B9" w:rsidP="00A25601">
            <w:r>
              <w:t>1</w:t>
            </w:r>
          </w:p>
        </w:tc>
        <w:tc>
          <w:tcPr>
            <w:tcW w:w="1390" w:type="dxa"/>
          </w:tcPr>
          <w:p w:rsidR="002F09B9" w:rsidRDefault="002F09B9" w:rsidP="00A25601">
            <w:r>
              <w:t>Powers</w:t>
            </w:r>
          </w:p>
        </w:tc>
        <w:tc>
          <w:tcPr>
            <w:tcW w:w="7073" w:type="dxa"/>
          </w:tcPr>
          <w:p w:rsidR="002F09B9" w:rsidRDefault="002F09B9" w:rsidP="00A25601">
            <w:r w:rsidRPr="001C756C">
              <w:t>To receive and admit members of the corporation, persons interested in the mineralogical and related earth sciences which are the primary objects of this corporation.</w:t>
            </w:r>
          </w:p>
          <w:p w:rsidR="002F09B9" w:rsidRDefault="002F09B9" w:rsidP="00A25601"/>
        </w:tc>
      </w:tr>
      <w:tr w:rsidR="002F09B9" w:rsidTr="002F09B9">
        <w:tc>
          <w:tcPr>
            <w:tcW w:w="1230" w:type="dxa"/>
          </w:tcPr>
          <w:p w:rsidR="002F09B9" w:rsidRDefault="002F09B9" w:rsidP="00A25601">
            <w:r>
              <w:t>III</w:t>
            </w:r>
          </w:p>
        </w:tc>
        <w:tc>
          <w:tcPr>
            <w:tcW w:w="1323" w:type="dxa"/>
          </w:tcPr>
          <w:p w:rsidR="002F09B9" w:rsidRDefault="002F09B9" w:rsidP="00A25601">
            <w:r>
              <w:t>2</w:t>
            </w:r>
          </w:p>
        </w:tc>
        <w:tc>
          <w:tcPr>
            <w:tcW w:w="1390" w:type="dxa"/>
          </w:tcPr>
          <w:p w:rsidR="002F09B9" w:rsidRDefault="002F09B9" w:rsidP="00A25601">
            <w:r>
              <w:t>Powers</w:t>
            </w:r>
          </w:p>
        </w:tc>
        <w:tc>
          <w:tcPr>
            <w:tcW w:w="7073" w:type="dxa"/>
          </w:tcPr>
          <w:p w:rsidR="002F09B9" w:rsidRDefault="002F09B9" w:rsidP="00A25601">
            <w:r w:rsidRPr="001C756C">
              <w:t xml:space="preserve">To purchase, lease, take in exchange or otherwise acquire and to hold, own, develop, operate, sell, assign, transfer, convey, exchange, mortgage, pledge, or otherwise dispose of and encumber real and personal property of every class and description and rights and privileges therein in the State of California, or in any other state, territory, district, or possession of the United States of America, and in </w:t>
            </w:r>
            <w:r w:rsidRPr="001C756C">
              <w:lastRenderedPageBreak/>
              <w:t>any or all foreign countries which may be suitable or convenient in connection with the purposes of this corporation.</w:t>
            </w:r>
          </w:p>
          <w:p w:rsidR="002F09B9" w:rsidRPr="001C756C" w:rsidRDefault="002F09B9" w:rsidP="00A25601"/>
        </w:tc>
      </w:tr>
      <w:tr w:rsidR="002F09B9" w:rsidTr="002F09B9">
        <w:tc>
          <w:tcPr>
            <w:tcW w:w="1230" w:type="dxa"/>
          </w:tcPr>
          <w:p w:rsidR="002F09B9" w:rsidRDefault="002F09B9" w:rsidP="00A25601">
            <w:r>
              <w:lastRenderedPageBreak/>
              <w:t>III</w:t>
            </w:r>
          </w:p>
        </w:tc>
        <w:tc>
          <w:tcPr>
            <w:tcW w:w="1323" w:type="dxa"/>
          </w:tcPr>
          <w:p w:rsidR="002F09B9" w:rsidRDefault="002F09B9" w:rsidP="00A25601">
            <w:r>
              <w:t>3</w:t>
            </w:r>
          </w:p>
        </w:tc>
        <w:tc>
          <w:tcPr>
            <w:tcW w:w="1390" w:type="dxa"/>
          </w:tcPr>
          <w:p w:rsidR="002F09B9" w:rsidRDefault="002F09B9" w:rsidP="00A25601">
            <w:r>
              <w:t>Powers</w:t>
            </w:r>
          </w:p>
        </w:tc>
        <w:tc>
          <w:tcPr>
            <w:tcW w:w="7073" w:type="dxa"/>
          </w:tcPr>
          <w:p w:rsidR="002F09B9" w:rsidRDefault="002F09B9" w:rsidP="00A25601">
            <w:r w:rsidRPr="001C756C">
              <w:t>To do any and all things necessary, suitable, convenient, or proper for or in connection with or incidental to the accomplishment of any of the purposes or attainment of any one or more of the objects herein enumerated or designed directly or indirectly to promote the interest of this corporation, or to enhance the value of any of its property; and in general do any and all things and exercise any and all powers which it may now or hereafter be lawful for the corporation to do or to exercise under the laws of the State of California that may now or hereafter be applicable to this corporation.</w:t>
            </w:r>
          </w:p>
          <w:p w:rsidR="002F09B9" w:rsidRPr="001C756C" w:rsidRDefault="002F09B9" w:rsidP="00A25601"/>
        </w:tc>
      </w:tr>
      <w:tr w:rsidR="002F09B9" w:rsidTr="002F09B9">
        <w:tc>
          <w:tcPr>
            <w:tcW w:w="1230" w:type="dxa"/>
          </w:tcPr>
          <w:p w:rsidR="002F09B9" w:rsidRDefault="002F09B9" w:rsidP="00A25601">
            <w:r>
              <w:t>III</w:t>
            </w:r>
          </w:p>
        </w:tc>
        <w:tc>
          <w:tcPr>
            <w:tcW w:w="1323" w:type="dxa"/>
          </w:tcPr>
          <w:p w:rsidR="002F09B9" w:rsidRDefault="002F09B9" w:rsidP="00A25601">
            <w:r>
              <w:t>4</w:t>
            </w:r>
          </w:p>
        </w:tc>
        <w:tc>
          <w:tcPr>
            <w:tcW w:w="1390" w:type="dxa"/>
          </w:tcPr>
          <w:p w:rsidR="002F09B9" w:rsidRDefault="002F09B9" w:rsidP="00A25601">
            <w:r>
              <w:t>Powers</w:t>
            </w:r>
          </w:p>
        </w:tc>
        <w:tc>
          <w:tcPr>
            <w:tcW w:w="7073" w:type="dxa"/>
          </w:tcPr>
          <w:p w:rsidR="002F09B9" w:rsidRDefault="002F09B9" w:rsidP="00A25601">
            <w:r w:rsidRPr="008E3AC9">
              <w:t xml:space="preserve">The foregoing shall be construed as objects and powers and enumeration and are not to be held to limit or to restrict in any manner the general powers now or hereafter conferred on </w:t>
            </w:r>
            <w:proofErr w:type="gramStart"/>
            <w:r w:rsidRPr="008E3AC9">
              <w:t>this corporation By-Laws</w:t>
            </w:r>
            <w:proofErr w:type="gramEnd"/>
            <w:r w:rsidRPr="008E3AC9">
              <w:t xml:space="preserve"> of the State of California.</w:t>
            </w:r>
          </w:p>
          <w:p w:rsidR="002F09B9" w:rsidRPr="001C756C" w:rsidRDefault="002F09B9" w:rsidP="00A25601"/>
        </w:tc>
      </w:tr>
      <w:tr w:rsidR="002F09B9" w:rsidTr="002F09B9">
        <w:tc>
          <w:tcPr>
            <w:tcW w:w="1230" w:type="dxa"/>
          </w:tcPr>
          <w:p w:rsidR="002F09B9" w:rsidRDefault="002F09B9" w:rsidP="00A25601">
            <w:r>
              <w:t>III</w:t>
            </w:r>
          </w:p>
        </w:tc>
        <w:tc>
          <w:tcPr>
            <w:tcW w:w="1323" w:type="dxa"/>
          </w:tcPr>
          <w:p w:rsidR="002F09B9" w:rsidRDefault="002F09B9" w:rsidP="00A25601">
            <w:r>
              <w:t>5</w:t>
            </w:r>
          </w:p>
        </w:tc>
        <w:tc>
          <w:tcPr>
            <w:tcW w:w="1390" w:type="dxa"/>
          </w:tcPr>
          <w:p w:rsidR="002F09B9" w:rsidRDefault="002F09B9" w:rsidP="00A25601">
            <w:r>
              <w:t>Powers</w:t>
            </w:r>
          </w:p>
        </w:tc>
        <w:tc>
          <w:tcPr>
            <w:tcW w:w="7073" w:type="dxa"/>
          </w:tcPr>
          <w:p w:rsidR="002F09B9" w:rsidRDefault="002F09B9" w:rsidP="00A25601">
            <w:r w:rsidRPr="008E3AC9">
              <w:t xml:space="preserve">The principal office for the transaction </w:t>
            </w:r>
            <w:proofErr w:type="gramStart"/>
            <w:r w:rsidRPr="008E3AC9">
              <w:t>of  business</w:t>
            </w:r>
            <w:proofErr w:type="gramEnd"/>
            <w:r w:rsidRPr="008E3AC9">
              <w:t xml:space="preserve"> is hereby fixed and located in the City of Victorville at 15056-B Seventh Street, in San Bernardino county, State of California.  The governing body with approval of the membership of this corporation is given full power and authority to change the said principal office from one location to another within the said Victor Valley area.</w:t>
            </w:r>
          </w:p>
          <w:p w:rsidR="002F09B9" w:rsidRPr="008E3AC9" w:rsidRDefault="002F09B9" w:rsidP="00A25601"/>
        </w:tc>
      </w:tr>
      <w:tr w:rsidR="002F09B9" w:rsidTr="002F09B9">
        <w:tc>
          <w:tcPr>
            <w:tcW w:w="1230" w:type="dxa"/>
          </w:tcPr>
          <w:p w:rsidR="002F09B9" w:rsidRDefault="002F09B9" w:rsidP="00A25601">
            <w:r>
              <w:t>IV</w:t>
            </w:r>
          </w:p>
        </w:tc>
        <w:tc>
          <w:tcPr>
            <w:tcW w:w="1323" w:type="dxa"/>
          </w:tcPr>
          <w:p w:rsidR="002F09B9" w:rsidRDefault="002F09B9" w:rsidP="00A25601">
            <w:r>
              <w:t>1a</w:t>
            </w:r>
          </w:p>
        </w:tc>
        <w:tc>
          <w:tcPr>
            <w:tcW w:w="1390" w:type="dxa"/>
          </w:tcPr>
          <w:p w:rsidR="002F09B9" w:rsidRDefault="002F09B9" w:rsidP="00A25601">
            <w:r>
              <w:t>Membership</w:t>
            </w:r>
          </w:p>
        </w:tc>
        <w:tc>
          <w:tcPr>
            <w:tcW w:w="7073" w:type="dxa"/>
          </w:tcPr>
          <w:p w:rsidR="002F09B9" w:rsidRDefault="002F09B9" w:rsidP="002F09B9">
            <w:r w:rsidRPr="002F09B9">
              <w:t xml:space="preserve">Any adult may become a member by making a written application and paying their dues for the fiscal year.  If the new member is accepted for membership at the June regular meeting or thereafter the dues for the balance of the current fiscal year shall be reduced to (50) fifty percent of the normal fee.  Dues for junior members shall be $5.00 per year.  A name tag may be purchased at an additional cost. </w:t>
            </w:r>
          </w:p>
          <w:p w:rsidR="002F09B9" w:rsidRDefault="002F09B9" w:rsidP="00A25601"/>
          <w:p w:rsidR="002F09B9" w:rsidRDefault="002F09B9" w:rsidP="00A25601">
            <w:r>
              <w:t>Revised October 6,2012</w:t>
            </w:r>
          </w:p>
          <w:p w:rsidR="002F09B9" w:rsidRDefault="002F09B9" w:rsidP="00A25601"/>
        </w:tc>
      </w:tr>
      <w:tr w:rsidR="002F09B9" w:rsidTr="002F09B9">
        <w:tc>
          <w:tcPr>
            <w:tcW w:w="1230" w:type="dxa"/>
          </w:tcPr>
          <w:p w:rsidR="002F09B9" w:rsidRDefault="002F09B9" w:rsidP="00A25601">
            <w:r>
              <w:t>IV</w:t>
            </w:r>
          </w:p>
        </w:tc>
        <w:tc>
          <w:tcPr>
            <w:tcW w:w="1323" w:type="dxa"/>
          </w:tcPr>
          <w:p w:rsidR="002F09B9" w:rsidRDefault="002F09B9" w:rsidP="00A25601">
            <w:r>
              <w:t>1b</w:t>
            </w:r>
          </w:p>
        </w:tc>
        <w:tc>
          <w:tcPr>
            <w:tcW w:w="1390" w:type="dxa"/>
          </w:tcPr>
          <w:p w:rsidR="002F09B9" w:rsidRDefault="002F09B9" w:rsidP="00A25601">
            <w:r>
              <w:t>Membership</w:t>
            </w:r>
          </w:p>
        </w:tc>
        <w:tc>
          <w:tcPr>
            <w:tcW w:w="7073" w:type="dxa"/>
          </w:tcPr>
          <w:p w:rsidR="002F09B9" w:rsidRPr="002F09B9" w:rsidRDefault="002F09B9" w:rsidP="00A25601">
            <w:r w:rsidRPr="002F09B9">
              <w:t xml:space="preserve">Adult members shall have all powers and privileges conferred by these by-laws including the right to vote and hold office.  </w:t>
            </w:r>
          </w:p>
          <w:p w:rsidR="002F09B9" w:rsidRDefault="002F09B9" w:rsidP="00A25601">
            <w:pPr>
              <w:rPr>
                <w:sz w:val="22"/>
              </w:rPr>
            </w:pPr>
          </w:p>
          <w:p w:rsidR="002F09B9" w:rsidRDefault="002F09B9" w:rsidP="002F09B9">
            <w:r>
              <w:t>Revised October 6,2012</w:t>
            </w:r>
          </w:p>
          <w:p w:rsidR="002F09B9" w:rsidRDefault="002F09B9" w:rsidP="00A25601"/>
        </w:tc>
      </w:tr>
      <w:tr w:rsidR="002F09B9" w:rsidTr="002F09B9">
        <w:tc>
          <w:tcPr>
            <w:tcW w:w="1230" w:type="dxa"/>
          </w:tcPr>
          <w:p w:rsidR="002F09B9" w:rsidRDefault="002F09B9" w:rsidP="00A25601">
            <w:r>
              <w:t>IV</w:t>
            </w:r>
          </w:p>
        </w:tc>
        <w:tc>
          <w:tcPr>
            <w:tcW w:w="1323" w:type="dxa"/>
          </w:tcPr>
          <w:p w:rsidR="002F09B9" w:rsidRDefault="002F09B9" w:rsidP="00A25601">
            <w:r>
              <w:t>2a</w:t>
            </w:r>
          </w:p>
        </w:tc>
        <w:tc>
          <w:tcPr>
            <w:tcW w:w="1390" w:type="dxa"/>
          </w:tcPr>
          <w:p w:rsidR="002F09B9" w:rsidRDefault="002F09B9" w:rsidP="00A25601">
            <w:r>
              <w:t>Membership</w:t>
            </w:r>
          </w:p>
        </w:tc>
        <w:tc>
          <w:tcPr>
            <w:tcW w:w="7073" w:type="dxa"/>
          </w:tcPr>
          <w:p w:rsidR="002F09B9" w:rsidRDefault="002F09B9" w:rsidP="00A25601">
            <w:pPr>
              <w:rPr>
                <w:sz w:val="22"/>
              </w:rPr>
            </w:pPr>
            <w:r w:rsidRPr="00F72AB0">
              <w:rPr>
                <w:sz w:val="22"/>
              </w:rPr>
              <w:t>All applications shall be writing and shall be signed by the applicant.  Payment of dues is to be submitted with the application.  A name badge may be purchased by the member at an additional cost. The new member will be presented at the next general meeting to the membership.</w:t>
            </w:r>
          </w:p>
          <w:p w:rsidR="002F09B9" w:rsidRDefault="002F09B9" w:rsidP="00A25601">
            <w:pPr>
              <w:rPr>
                <w:sz w:val="22"/>
              </w:rPr>
            </w:pPr>
          </w:p>
          <w:p w:rsidR="002F09B9" w:rsidRPr="002F09B9" w:rsidRDefault="002F09B9" w:rsidP="00A25601">
            <w:r>
              <w:t>Revised October 6,2012</w:t>
            </w:r>
          </w:p>
          <w:p w:rsidR="002F09B9" w:rsidRDefault="002F09B9" w:rsidP="00A25601"/>
        </w:tc>
      </w:tr>
      <w:tr w:rsidR="002F09B9" w:rsidTr="002F09B9">
        <w:tc>
          <w:tcPr>
            <w:tcW w:w="1230" w:type="dxa"/>
          </w:tcPr>
          <w:p w:rsidR="002F09B9" w:rsidRPr="007C39DA" w:rsidRDefault="002F09B9" w:rsidP="00A25601">
            <w:r w:rsidRPr="007C39DA">
              <w:t>IV</w:t>
            </w:r>
          </w:p>
        </w:tc>
        <w:tc>
          <w:tcPr>
            <w:tcW w:w="1323" w:type="dxa"/>
          </w:tcPr>
          <w:p w:rsidR="002F09B9" w:rsidRPr="007C39DA" w:rsidRDefault="002F09B9" w:rsidP="00A25601">
            <w:r w:rsidRPr="007C39DA">
              <w:t>2b</w:t>
            </w:r>
          </w:p>
        </w:tc>
        <w:tc>
          <w:tcPr>
            <w:tcW w:w="1390" w:type="dxa"/>
          </w:tcPr>
          <w:p w:rsidR="002F09B9" w:rsidRPr="007C39DA" w:rsidRDefault="002F09B9" w:rsidP="00A25601">
            <w:r w:rsidRPr="007C39DA">
              <w:t>Membership</w:t>
            </w:r>
          </w:p>
        </w:tc>
        <w:tc>
          <w:tcPr>
            <w:tcW w:w="7073" w:type="dxa"/>
          </w:tcPr>
          <w:p w:rsidR="002F09B9" w:rsidRPr="0087456E" w:rsidRDefault="002F09B9" w:rsidP="002F09B9">
            <w:pPr>
              <w:rPr>
                <w:rFonts w:eastAsia="Times New Roman"/>
                <w:color w:val="000000"/>
              </w:rPr>
            </w:pPr>
            <w:r w:rsidRPr="0087456E">
              <w:rPr>
                <w:rFonts w:eastAsia="Times New Roman"/>
                <w:color w:val="000000"/>
              </w:rPr>
              <w:t xml:space="preserve">Membership to the Victor Valley Gem &amp; Mineral Club is open to anyone regardless of age or place of residence.   Junior members (young people under the age of 18) must be sponsored by a parent, guardian, or member in good standing, and must be accompanied to meetings and on field trips by an adult member. </w:t>
            </w:r>
          </w:p>
          <w:p w:rsidR="002F09B9" w:rsidRDefault="002F09B9" w:rsidP="00A25601"/>
          <w:p w:rsidR="002F09B9" w:rsidRDefault="002F09B9" w:rsidP="00A25601">
            <w:r>
              <w:lastRenderedPageBreak/>
              <w:t>Revised September 25, 2012</w:t>
            </w:r>
          </w:p>
          <w:p w:rsidR="002F09B9" w:rsidRDefault="002F09B9" w:rsidP="00A25601"/>
        </w:tc>
      </w:tr>
      <w:tr w:rsidR="002F09B9" w:rsidTr="002F09B9">
        <w:tc>
          <w:tcPr>
            <w:tcW w:w="1230" w:type="dxa"/>
          </w:tcPr>
          <w:p w:rsidR="002F09B9" w:rsidRPr="00CE41E8" w:rsidRDefault="002F09B9" w:rsidP="00A25601">
            <w:r w:rsidRPr="00CE41E8">
              <w:lastRenderedPageBreak/>
              <w:t>IV</w:t>
            </w:r>
          </w:p>
        </w:tc>
        <w:tc>
          <w:tcPr>
            <w:tcW w:w="1323" w:type="dxa"/>
          </w:tcPr>
          <w:p w:rsidR="002F09B9" w:rsidRPr="00CE41E8" w:rsidRDefault="002F09B9" w:rsidP="00A25601">
            <w:r w:rsidRPr="00CE41E8">
              <w:t>3</w:t>
            </w:r>
          </w:p>
        </w:tc>
        <w:tc>
          <w:tcPr>
            <w:tcW w:w="1390" w:type="dxa"/>
          </w:tcPr>
          <w:p w:rsidR="002F09B9" w:rsidRPr="00CE41E8" w:rsidRDefault="002F09B9" w:rsidP="00A25601">
            <w:r w:rsidRPr="00CE41E8">
              <w:t>Membership</w:t>
            </w:r>
          </w:p>
        </w:tc>
        <w:tc>
          <w:tcPr>
            <w:tcW w:w="7073" w:type="dxa"/>
          </w:tcPr>
          <w:p w:rsidR="002F09B9" w:rsidRDefault="002F09B9" w:rsidP="00A25601">
            <w:r w:rsidRPr="00CE41E8">
              <w:t xml:space="preserve">Expulsion:  Should the attitude or conduct of any member be such as to be considered detrimental to the welfare of the organization such member may be expelled by a two-thirds vote of the membership.  Before such action may be taken however, a REGISTERED written notice shall be sent by the Secretary to the member to appear at a designated time and place so that he may show </w:t>
            </w:r>
            <w:proofErr w:type="gramStart"/>
            <w:r w:rsidRPr="00CE41E8">
              <w:t>cause</w:t>
            </w:r>
            <w:proofErr w:type="gramEnd"/>
            <w:r w:rsidRPr="00CE41E8">
              <w:t xml:space="preserve"> why such action should not be taken.</w:t>
            </w:r>
          </w:p>
        </w:tc>
      </w:tr>
      <w:tr w:rsidR="002F09B9" w:rsidTr="002F09B9">
        <w:tc>
          <w:tcPr>
            <w:tcW w:w="1230" w:type="dxa"/>
          </w:tcPr>
          <w:p w:rsidR="002F09B9" w:rsidRDefault="002F09B9" w:rsidP="00A25601">
            <w:pPr>
              <w:rPr>
                <w:highlight w:val="yellow"/>
              </w:rPr>
            </w:pPr>
            <w:r w:rsidRPr="00CE41E8">
              <w:t>IV</w:t>
            </w:r>
          </w:p>
        </w:tc>
        <w:tc>
          <w:tcPr>
            <w:tcW w:w="1323" w:type="dxa"/>
          </w:tcPr>
          <w:p w:rsidR="002F09B9" w:rsidRPr="00CE41E8" w:rsidRDefault="002F09B9" w:rsidP="00A25601">
            <w:r w:rsidRPr="00CE41E8">
              <w:t>4</w:t>
            </w:r>
          </w:p>
        </w:tc>
        <w:tc>
          <w:tcPr>
            <w:tcW w:w="1390" w:type="dxa"/>
          </w:tcPr>
          <w:p w:rsidR="002F09B9" w:rsidRPr="00CE41E8" w:rsidRDefault="002F09B9" w:rsidP="00A25601">
            <w:r w:rsidRPr="00CE41E8">
              <w:t>Membership</w:t>
            </w:r>
          </w:p>
        </w:tc>
        <w:tc>
          <w:tcPr>
            <w:tcW w:w="7073" w:type="dxa"/>
          </w:tcPr>
          <w:p w:rsidR="002F09B9" w:rsidRPr="00CE41E8" w:rsidRDefault="002F09B9" w:rsidP="00A25601">
            <w:r w:rsidRPr="00915DA9">
              <w:t>A minor shall be accompanied by a parent or guardian who is a member of the organization in good standing on all field trips and at meetings.</w:t>
            </w:r>
          </w:p>
        </w:tc>
      </w:tr>
    </w:tbl>
    <w:p w:rsidR="002F09B9" w:rsidRDefault="002F09B9" w:rsidP="002F09B9">
      <w:pPr>
        <w:jc w:val="center"/>
      </w:pPr>
    </w:p>
    <w:sectPr w:rsidR="002F09B9" w:rsidSect="002F09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rsids>
    <w:rsidRoot w:val="002F09B9"/>
    <w:rsid w:val="000D195E"/>
    <w:rsid w:val="002F09B9"/>
    <w:rsid w:val="00424612"/>
    <w:rsid w:val="008C5839"/>
    <w:rsid w:val="00B92D45"/>
    <w:rsid w:val="00C2552C"/>
    <w:rsid w:val="00CD10D5"/>
    <w:rsid w:val="00E32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9B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1</cp:revision>
  <dcterms:created xsi:type="dcterms:W3CDTF">2012-11-07T02:16:00Z</dcterms:created>
  <dcterms:modified xsi:type="dcterms:W3CDTF">2012-11-07T02:35:00Z</dcterms:modified>
</cp:coreProperties>
</file>